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94E0" w14:textId="77777777" w:rsidR="00EF1EC8" w:rsidRPr="00EF1EC8" w:rsidRDefault="00EF1EC8" w:rsidP="00EF1EC8">
      <w:pPr>
        <w:spacing w:after="0"/>
        <w:rPr>
          <w:rFonts w:asciiTheme="majorHAnsi" w:hAnsiTheme="majorHAnsi"/>
        </w:rPr>
      </w:pPr>
      <w:r w:rsidRPr="00EF1EC8">
        <w:rPr>
          <w:rFonts w:asciiTheme="majorHAnsi" w:hAnsiTheme="majorHAnsi"/>
        </w:rPr>
        <w:t>Bogotá D.C., 7 de julio de 2026</w:t>
      </w:r>
    </w:p>
    <w:p w14:paraId="1817A2FF" w14:textId="77777777" w:rsidR="008C604E" w:rsidRDefault="008C604E" w:rsidP="00EF1EC8">
      <w:pPr>
        <w:spacing w:after="0"/>
        <w:rPr>
          <w:rFonts w:asciiTheme="majorHAnsi" w:hAnsiTheme="majorHAnsi"/>
        </w:rPr>
      </w:pPr>
    </w:p>
    <w:p w14:paraId="458E688E" w14:textId="77777777" w:rsidR="008C604E" w:rsidRDefault="008C604E" w:rsidP="00EF1EC8">
      <w:pPr>
        <w:spacing w:after="0"/>
        <w:rPr>
          <w:rFonts w:asciiTheme="majorHAnsi" w:hAnsiTheme="majorHAnsi"/>
        </w:rPr>
      </w:pPr>
    </w:p>
    <w:p w14:paraId="39B930DD" w14:textId="5DD4BE1E" w:rsidR="00EF1EC8" w:rsidRPr="00EF1EC8" w:rsidRDefault="00EF1EC8" w:rsidP="00EF1EC8">
      <w:pPr>
        <w:spacing w:after="0"/>
        <w:rPr>
          <w:rFonts w:asciiTheme="majorHAnsi" w:hAnsiTheme="majorHAnsi"/>
        </w:rPr>
      </w:pPr>
      <w:r w:rsidRPr="00EF1EC8">
        <w:rPr>
          <w:rFonts w:asciiTheme="majorHAnsi" w:hAnsiTheme="majorHAnsi"/>
        </w:rPr>
        <w:t>Doctora</w:t>
      </w:r>
    </w:p>
    <w:p w14:paraId="10945FCF" w14:textId="77777777" w:rsidR="00EF1EC8" w:rsidRPr="00EF1EC8" w:rsidRDefault="00EF1EC8" w:rsidP="00EF1EC8">
      <w:pPr>
        <w:spacing w:after="0"/>
        <w:rPr>
          <w:rFonts w:asciiTheme="majorHAnsi" w:hAnsiTheme="majorHAnsi"/>
        </w:rPr>
      </w:pPr>
      <w:r w:rsidRPr="00EF1EC8">
        <w:rPr>
          <w:rFonts w:asciiTheme="majorHAnsi" w:hAnsiTheme="majorHAnsi"/>
          <w:b/>
          <w:bCs/>
        </w:rPr>
        <w:t>CLAUDIA ANDREA ARISTIZÁBAL AMÓRTEGUI</w:t>
      </w:r>
    </w:p>
    <w:p w14:paraId="272C53A7" w14:textId="77777777" w:rsidR="00EF1EC8" w:rsidRPr="00EF1EC8" w:rsidRDefault="00EF1EC8" w:rsidP="00EF1EC8">
      <w:pPr>
        <w:spacing w:after="0"/>
        <w:rPr>
          <w:rFonts w:asciiTheme="majorHAnsi" w:hAnsiTheme="majorHAnsi"/>
        </w:rPr>
      </w:pPr>
      <w:r w:rsidRPr="00EF1EC8">
        <w:rPr>
          <w:rFonts w:asciiTheme="majorHAnsi" w:hAnsiTheme="majorHAnsi"/>
        </w:rPr>
        <w:t>Secretaria de Desarrollo Social Comunitario</w:t>
      </w:r>
    </w:p>
    <w:p w14:paraId="6A920422" w14:textId="77777777" w:rsidR="00EF1EC8" w:rsidRPr="00EF1EC8" w:rsidRDefault="00EF1EC8" w:rsidP="00EF1EC8">
      <w:pPr>
        <w:spacing w:after="0"/>
        <w:rPr>
          <w:rFonts w:asciiTheme="majorHAnsi" w:hAnsiTheme="majorHAnsi"/>
        </w:rPr>
      </w:pPr>
      <w:r w:rsidRPr="00EF1EC8">
        <w:rPr>
          <w:rFonts w:asciiTheme="majorHAnsi" w:hAnsiTheme="majorHAnsi"/>
        </w:rPr>
        <w:t>Alcaldía Municipal de Ibagué</w:t>
      </w:r>
    </w:p>
    <w:p w14:paraId="7EB57DB7" w14:textId="77777777" w:rsidR="00EF1EC8" w:rsidRPr="00EF1EC8" w:rsidRDefault="00EF1EC8" w:rsidP="00EF1EC8">
      <w:pPr>
        <w:spacing w:after="0"/>
        <w:rPr>
          <w:rFonts w:asciiTheme="majorHAnsi" w:hAnsiTheme="majorHAnsi"/>
        </w:rPr>
      </w:pPr>
      <w:r w:rsidRPr="00EF1EC8">
        <w:rPr>
          <w:rFonts w:asciiTheme="majorHAnsi" w:hAnsiTheme="majorHAnsi"/>
        </w:rPr>
        <w:t>Carrera 2 calle 17 esquina, Piso 6, CAM Parque Galarza</w:t>
      </w:r>
    </w:p>
    <w:p w14:paraId="13A4CEDE" w14:textId="77777777" w:rsidR="00EF1EC8" w:rsidRPr="00EF1EC8" w:rsidRDefault="00EF1EC8" w:rsidP="00EF1EC8">
      <w:pPr>
        <w:spacing w:after="0"/>
        <w:rPr>
          <w:rFonts w:asciiTheme="majorHAnsi" w:hAnsiTheme="majorHAnsi"/>
        </w:rPr>
      </w:pPr>
      <w:r w:rsidRPr="00EF1EC8">
        <w:rPr>
          <w:rFonts w:asciiTheme="majorHAnsi" w:hAnsiTheme="majorHAnsi"/>
        </w:rPr>
        <w:t>Ibagué - Tolima</w:t>
      </w:r>
    </w:p>
    <w:p w14:paraId="062CF0A2" w14:textId="77777777" w:rsidR="00EF1EC8" w:rsidRDefault="00EF1EC8" w:rsidP="00EF1EC8">
      <w:pPr>
        <w:spacing w:after="0"/>
        <w:rPr>
          <w:rFonts w:asciiTheme="majorHAnsi" w:hAnsiTheme="majorHAnsi"/>
          <w:b/>
          <w:bCs/>
        </w:rPr>
      </w:pPr>
    </w:p>
    <w:p w14:paraId="34A0D804" w14:textId="676AC5A3" w:rsidR="00EF1EC8" w:rsidRPr="00EF1EC8" w:rsidRDefault="00EF1EC8" w:rsidP="00EF1EC8">
      <w:pPr>
        <w:spacing w:after="0"/>
        <w:rPr>
          <w:rFonts w:asciiTheme="majorHAnsi" w:hAnsiTheme="majorHAnsi"/>
        </w:rPr>
      </w:pPr>
      <w:r w:rsidRPr="00EF1EC8">
        <w:rPr>
          <w:rFonts w:asciiTheme="majorHAnsi" w:hAnsiTheme="majorHAnsi"/>
          <w:b/>
          <w:bCs/>
        </w:rPr>
        <w:t>Asunto:</w:t>
      </w:r>
      <w:r w:rsidRPr="00EF1EC8">
        <w:rPr>
          <w:rFonts w:asciiTheme="majorHAnsi" w:hAnsiTheme="majorHAnsi"/>
        </w:rPr>
        <w:t xml:space="preserve"> Respuesta a la invitación del 3 de julio de 2026 dentro del trámite de cumplimiento del fallo de Acción Popular No. 73001-23-33-000-2023-00231-01.</w:t>
      </w:r>
    </w:p>
    <w:p w14:paraId="0D363202" w14:textId="77777777" w:rsidR="00EF1EC8" w:rsidRDefault="00EF1EC8" w:rsidP="00EF1EC8">
      <w:pPr>
        <w:spacing w:after="0"/>
        <w:rPr>
          <w:rFonts w:asciiTheme="majorHAnsi" w:hAnsiTheme="majorHAnsi"/>
        </w:rPr>
      </w:pPr>
    </w:p>
    <w:p w14:paraId="198BE23A" w14:textId="0CB24529" w:rsidR="00EF1EC8" w:rsidRDefault="00EF1EC8" w:rsidP="00EF1EC8">
      <w:pPr>
        <w:spacing w:after="0"/>
        <w:rPr>
          <w:rFonts w:asciiTheme="majorHAnsi" w:hAnsiTheme="majorHAnsi"/>
        </w:rPr>
      </w:pPr>
      <w:r w:rsidRPr="00EF1EC8">
        <w:rPr>
          <w:rFonts w:asciiTheme="majorHAnsi" w:hAnsiTheme="majorHAnsi"/>
        </w:rPr>
        <w:t>Respetada doctora</w:t>
      </w:r>
      <w:r>
        <w:rPr>
          <w:rFonts w:asciiTheme="majorHAnsi" w:hAnsiTheme="majorHAnsi"/>
        </w:rPr>
        <w:t>,</w:t>
      </w:r>
    </w:p>
    <w:p w14:paraId="4F9E9425" w14:textId="77777777" w:rsidR="00EF1EC8" w:rsidRPr="00EF1EC8" w:rsidRDefault="00EF1EC8" w:rsidP="00EF1EC8">
      <w:pPr>
        <w:spacing w:after="0"/>
        <w:rPr>
          <w:rFonts w:asciiTheme="majorHAnsi" w:hAnsiTheme="majorHAnsi"/>
        </w:rPr>
      </w:pPr>
    </w:p>
    <w:p w14:paraId="26729D91" w14:textId="5AD3D0B1" w:rsidR="00EF1EC8" w:rsidRDefault="00EF1EC8" w:rsidP="00EF1EC8">
      <w:pPr>
        <w:spacing w:after="0"/>
        <w:jc w:val="both"/>
        <w:rPr>
          <w:rFonts w:asciiTheme="majorHAnsi" w:hAnsiTheme="majorHAnsi"/>
        </w:rPr>
      </w:pPr>
      <w:r w:rsidRPr="00EF1EC8">
        <w:rPr>
          <w:rFonts w:asciiTheme="majorHAnsi" w:hAnsiTheme="majorHAnsi"/>
        </w:rPr>
        <w:t>En atención al oficio de la referencia, mediante el cual la Secretaría de Desarrollo Social Comunitario de la Alcaldía de Ibagué invita al Ministerio del Interior a participar de forma presencial en la jornada de oferta institucional programada para el próximo 15 de julio de 2026 en el asentamiento humano Villa Resistencia, esta Subdirección se permite manifestar la imposibilidad jurídica, presupuestal y técnica de asistir a dicho evento. A continuación, se exponen de manera rigurosa los fundamentos de derecho que sustentan nuestra postura.</w:t>
      </w:r>
    </w:p>
    <w:p w14:paraId="311CAB26" w14:textId="77777777" w:rsidR="00EF1EC8" w:rsidRPr="00EF1EC8" w:rsidRDefault="00EF1EC8" w:rsidP="00EF1EC8">
      <w:pPr>
        <w:spacing w:after="0"/>
        <w:jc w:val="both"/>
        <w:rPr>
          <w:rFonts w:asciiTheme="majorHAnsi" w:hAnsiTheme="majorHAnsi"/>
        </w:rPr>
      </w:pPr>
    </w:p>
    <w:p w14:paraId="16139CFE" w14:textId="77777777" w:rsidR="00EF1EC8" w:rsidRDefault="00EF1EC8" w:rsidP="00EF1EC8">
      <w:pPr>
        <w:spacing w:after="0"/>
        <w:jc w:val="both"/>
        <w:rPr>
          <w:rFonts w:asciiTheme="majorHAnsi" w:hAnsiTheme="majorHAnsi"/>
          <w:b/>
          <w:bCs/>
        </w:rPr>
      </w:pPr>
      <w:r w:rsidRPr="00EF1EC8">
        <w:rPr>
          <w:rFonts w:asciiTheme="majorHAnsi" w:hAnsiTheme="majorHAnsi"/>
          <w:b/>
          <w:bCs/>
        </w:rPr>
        <w:t>Delimitación subjetiva del fallo y falta de legitimación en la causa por pasiva</w:t>
      </w:r>
    </w:p>
    <w:p w14:paraId="7E346568" w14:textId="77777777" w:rsidR="00EF1EC8" w:rsidRPr="00EF1EC8" w:rsidRDefault="00EF1EC8" w:rsidP="00EF1EC8">
      <w:pPr>
        <w:spacing w:after="0"/>
        <w:jc w:val="both"/>
        <w:rPr>
          <w:rFonts w:asciiTheme="majorHAnsi" w:hAnsiTheme="majorHAnsi"/>
          <w:b/>
          <w:bCs/>
        </w:rPr>
      </w:pPr>
    </w:p>
    <w:p w14:paraId="097A8389" w14:textId="3B199D24" w:rsidR="00EF1EC8" w:rsidRDefault="00EF1EC8" w:rsidP="00EF1EC8">
      <w:pPr>
        <w:spacing w:after="0"/>
        <w:jc w:val="both"/>
        <w:rPr>
          <w:rFonts w:asciiTheme="majorHAnsi" w:hAnsiTheme="majorHAnsi"/>
        </w:rPr>
      </w:pPr>
      <w:r w:rsidRPr="00EF1EC8">
        <w:rPr>
          <w:rFonts w:asciiTheme="majorHAnsi" w:hAnsiTheme="majorHAnsi"/>
        </w:rPr>
        <w:t xml:space="preserve">El Ministerio del Interior no ostenta la condición de sujeto procesal ni de destinatario de las órdenes de comando dictadas por el juez de la causa en el marco de la acción popular de la referencia. </w:t>
      </w:r>
      <w:r>
        <w:rPr>
          <w:rFonts w:asciiTheme="majorHAnsi" w:hAnsiTheme="majorHAnsi"/>
        </w:rPr>
        <w:t>En efecto,</w:t>
      </w:r>
      <w:r w:rsidRPr="00EF1EC8">
        <w:rPr>
          <w:rFonts w:asciiTheme="majorHAnsi" w:hAnsiTheme="majorHAnsi"/>
        </w:rPr>
        <w:t xml:space="preserve"> la parte dispositiva y resolutiva de la sentencia de segunda instancia proferida el </w:t>
      </w:r>
      <w:r>
        <w:rPr>
          <w:rFonts w:asciiTheme="majorHAnsi" w:hAnsiTheme="majorHAnsi"/>
        </w:rPr>
        <w:t>5</w:t>
      </w:r>
      <w:r w:rsidRPr="00EF1EC8">
        <w:rPr>
          <w:rFonts w:asciiTheme="majorHAnsi" w:hAnsiTheme="majorHAnsi"/>
        </w:rPr>
        <w:t xml:space="preserve"> de febrero de dos mil 2026 por el Consejo de Estado</w:t>
      </w:r>
      <w:r>
        <w:rPr>
          <w:rFonts w:asciiTheme="majorHAnsi" w:hAnsiTheme="majorHAnsi"/>
        </w:rPr>
        <w:t xml:space="preserve"> en el </w:t>
      </w:r>
      <w:r w:rsidRPr="00EF1EC8">
        <w:rPr>
          <w:rFonts w:asciiTheme="majorHAnsi" w:hAnsiTheme="majorHAnsi"/>
        </w:rPr>
        <w:t>Rad. 73001-23-33-000-2023-00231-01</w:t>
      </w:r>
      <w:r>
        <w:rPr>
          <w:rFonts w:asciiTheme="majorHAnsi" w:hAnsiTheme="majorHAnsi"/>
        </w:rPr>
        <w:t xml:space="preserve"> se </w:t>
      </w:r>
      <w:r w:rsidRPr="00EF1EC8">
        <w:rPr>
          <w:rFonts w:asciiTheme="majorHAnsi" w:hAnsiTheme="majorHAnsi"/>
        </w:rPr>
        <w:t>modificó el ordinal tercero del fallo de primer grado</w:t>
      </w:r>
      <w:r>
        <w:rPr>
          <w:rFonts w:asciiTheme="majorHAnsi" w:hAnsiTheme="majorHAnsi"/>
        </w:rPr>
        <w:t xml:space="preserve"> con el fin de </w:t>
      </w:r>
      <w:r w:rsidRPr="00EF1EC8">
        <w:rPr>
          <w:rFonts w:asciiTheme="majorHAnsi" w:hAnsiTheme="majorHAnsi"/>
        </w:rPr>
        <w:t>excluir de las órdenes de ejecución a todas aquellas autoridades estatales que no hicieron parte del litigio o que no fueron declaradas responsables de la vulneración de los derechos colectivos.</w:t>
      </w:r>
    </w:p>
    <w:p w14:paraId="1990EDF8" w14:textId="77777777" w:rsidR="00EF1EC8" w:rsidRPr="00EF1EC8" w:rsidRDefault="00EF1EC8" w:rsidP="00EF1EC8">
      <w:pPr>
        <w:spacing w:after="0"/>
        <w:jc w:val="both"/>
        <w:rPr>
          <w:rFonts w:asciiTheme="majorHAnsi" w:hAnsiTheme="majorHAnsi"/>
        </w:rPr>
      </w:pPr>
    </w:p>
    <w:p w14:paraId="3C14C848" w14:textId="12AF6918" w:rsidR="00EF1EC8" w:rsidRPr="00EF1EC8" w:rsidRDefault="00EF1EC8" w:rsidP="00EF1EC8">
      <w:pPr>
        <w:spacing w:after="0"/>
        <w:jc w:val="both"/>
        <w:rPr>
          <w:rFonts w:asciiTheme="majorHAnsi" w:hAnsiTheme="majorHAnsi"/>
        </w:rPr>
      </w:pPr>
      <w:r w:rsidRPr="00EF1EC8">
        <w:rPr>
          <w:rFonts w:asciiTheme="majorHAnsi" w:hAnsiTheme="majorHAnsi"/>
        </w:rPr>
        <w:t xml:space="preserve">La providencia limitó con total taxatividad la responsabilidad prestacional compleja única y exclusivamente en cabeza del Municipio de Ibagué y de la Nación - Ministerio de Defensa Nacional - Policía Metropolitana de Ibagué. En consecuencia, pretender compeler a este ministerio a asistir a una jornada en el territorio bajo el argumento de dar "cumplimiento al fallo" configura un desbordamiento de las competencias de la administración municipal. Al no </w:t>
      </w:r>
      <w:r w:rsidRPr="00EF1EC8">
        <w:rPr>
          <w:rFonts w:asciiTheme="majorHAnsi" w:hAnsiTheme="majorHAnsi"/>
        </w:rPr>
        <w:lastRenderedPageBreak/>
        <w:t>haber sido vinculada esta cartera ministerial como demandada ni como tercero con interés, las obligaciones derivadas de la Sentencia del 5 de febrero de 2026 le son inoponibles</w:t>
      </w:r>
      <w:r>
        <w:rPr>
          <w:rFonts w:asciiTheme="majorHAnsi" w:hAnsiTheme="majorHAnsi"/>
        </w:rPr>
        <w:t>.</w:t>
      </w:r>
    </w:p>
    <w:p w14:paraId="15A0E7AA" w14:textId="77777777" w:rsidR="00EF1EC8" w:rsidRDefault="00EF1EC8" w:rsidP="00EF1EC8">
      <w:pPr>
        <w:spacing w:after="0"/>
        <w:jc w:val="both"/>
        <w:rPr>
          <w:rFonts w:asciiTheme="majorHAnsi" w:hAnsiTheme="majorHAnsi"/>
          <w:b/>
          <w:bCs/>
        </w:rPr>
      </w:pPr>
    </w:p>
    <w:p w14:paraId="6BBB690D" w14:textId="4FE4BFDA" w:rsidR="00EF1EC8" w:rsidRDefault="00EF1EC8" w:rsidP="00EF1EC8">
      <w:pPr>
        <w:spacing w:after="0"/>
        <w:jc w:val="both"/>
        <w:rPr>
          <w:rFonts w:asciiTheme="majorHAnsi" w:hAnsiTheme="majorHAnsi"/>
          <w:b/>
          <w:bCs/>
        </w:rPr>
      </w:pPr>
      <w:r w:rsidRPr="00EF1EC8">
        <w:rPr>
          <w:rFonts w:asciiTheme="majorHAnsi" w:hAnsiTheme="majorHAnsi"/>
          <w:b/>
          <w:bCs/>
        </w:rPr>
        <w:t>Indisponibilidad de insumos técnicos y metodológicos para el enfoque diferencial</w:t>
      </w:r>
    </w:p>
    <w:p w14:paraId="40D04F7D" w14:textId="77777777" w:rsidR="00EF1EC8" w:rsidRPr="00EF1EC8" w:rsidRDefault="00EF1EC8" w:rsidP="00EF1EC8">
      <w:pPr>
        <w:spacing w:after="0"/>
        <w:jc w:val="both"/>
        <w:rPr>
          <w:rFonts w:asciiTheme="majorHAnsi" w:hAnsiTheme="majorHAnsi"/>
          <w:b/>
          <w:bCs/>
        </w:rPr>
      </w:pPr>
    </w:p>
    <w:p w14:paraId="0FBA1AC7" w14:textId="3DA9404A" w:rsidR="00EF1EC8" w:rsidRDefault="00EF1EC8" w:rsidP="00EF1EC8">
      <w:pPr>
        <w:spacing w:after="0"/>
        <w:jc w:val="both"/>
        <w:rPr>
          <w:rFonts w:asciiTheme="majorHAnsi" w:hAnsiTheme="majorHAnsi"/>
        </w:rPr>
      </w:pPr>
      <w:r w:rsidRPr="00EF1EC8">
        <w:rPr>
          <w:rFonts w:asciiTheme="majorHAnsi" w:hAnsiTheme="majorHAnsi"/>
        </w:rPr>
        <w:t xml:space="preserve">La Subdirección de Gobierno, Gestión Territorial y Lucha contra la Trata se encuentra ante la imposibilidad técnica de estructurar una oferta institucional adaptada a las complejidades del asentamiento Villa Resistencia debido al incumplimiento de las cargas informativas que pesan sobre el municipio. </w:t>
      </w:r>
      <w:r>
        <w:rPr>
          <w:rFonts w:asciiTheme="majorHAnsi" w:hAnsiTheme="majorHAnsi"/>
        </w:rPr>
        <w:t>Valga observar que</w:t>
      </w:r>
      <w:r w:rsidRPr="00EF1EC8">
        <w:rPr>
          <w:rFonts w:asciiTheme="majorHAnsi" w:hAnsiTheme="majorHAnsi"/>
        </w:rPr>
        <w:t xml:space="preserve"> en el numeral primero del ordinal tercero de la sentencia modificatoria del Consejo de Estado </w:t>
      </w:r>
      <w:r>
        <w:rPr>
          <w:rFonts w:asciiTheme="majorHAnsi" w:hAnsiTheme="majorHAnsi"/>
        </w:rPr>
        <w:t>se</w:t>
      </w:r>
      <w:r w:rsidRPr="00EF1EC8">
        <w:rPr>
          <w:rFonts w:asciiTheme="majorHAnsi" w:hAnsiTheme="majorHAnsi"/>
        </w:rPr>
        <w:t xml:space="preserve"> ordenó al Municipio de Ibagué actualizar, en un término no mayor a 2 meses siguientes a la ejecutoria de la providencia, el censo pormenorizado y caracterizado de la población allí asentada. Lo anterior debe atender de forma estricta los parámetros de la Sentencia SU-016 de 2021 de la Corte Constitucional.</w:t>
      </w:r>
    </w:p>
    <w:p w14:paraId="306C1689" w14:textId="77777777" w:rsidR="00EF1EC8" w:rsidRPr="00EF1EC8" w:rsidRDefault="00EF1EC8" w:rsidP="00EF1EC8">
      <w:pPr>
        <w:spacing w:after="0"/>
        <w:jc w:val="both"/>
        <w:rPr>
          <w:rFonts w:asciiTheme="majorHAnsi" w:hAnsiTheme="majorHAnsi"/>
        </w:rPr>
      </w:pPr>
    </w:p>
    <w:p w14:paraId="71A1EBED" w14:textId="3CACD17C" w:rsidR="00EF1EC8" w:rsidRDefault="00EF1EC8" w:rsidP="00EF1EC8">
      <w:pPr>
        <w:spacing w:after="0"/>
        <w:jc w:val="both"/>
        <w:rPr>
          <w:rFonts w:asciiTheme="majorHAnsi" w:hAnsiTheme="majorHAnsi"/>
        </w:rPr>
      </w:pPr>
      <w:r w:rsidRPr="00EF1EC8">
        <w:rPr>
          <w:rFonts w:asciiTheme="majorHAnsi" w:hAnsiTheme="majorHAnsi"/>
        </w:rPr>
        <w:t>Su despacho omitió adjuntar este documento técnico esencial a la invitación del 3 de julio de 2026. La alcaldía se limitó a transcribir un resumen global de datos estadísticos en el cuerpo del texto de su comunicación. Al carecer de la copia íntegra del censo caracterizado, indexado por comunidades étnicas, familias vulnerables y población diversa, este ministerio no cuenta con los insumos para diseñar las rutas de atención intercultural y de derechos humanos solicitadas</w:t>
      </w:r>
      <w:r>
        <w:rPr>
          <w:rFonts w:asciiTheme="majorHAnsi" w:hAnsiTheme="majorHAnsi"/>
        </w:rPr>
        <w:t xml:space="preserve"> e, igualmente, determinar al interior de esta cartera, cuál es el área competente para su eventual atención., </w:t>
      </w:r>
      <w:r w:rsidRPr="00EF1EC8">
        <w:rPr>
          <w:rFonts w:asciiTheme="majorHAnsi" w:hAnsiTheme="majorHAnsi"/>
        </w:rPr>
        <w:t>en el marco de las funciones asignadas por el artículo 18 del Decreto 2893 de 2011.</w:t>
      </w:r>
    </w:p>
    <w:p w14:paraId="4AC52FCC" w14:textId="77777777" w:rsidR="00EF1EC8" w:rsidRPr="00EF1EC8" w:rsidRDefault="00EF1EC8" w:rsidP="00EF1EC8">
      <w:pPr>
        <w:spacing w:after="0"/>
        <w:jc w:val="both"/>
        <w:rPr>
          <w:rFonts w:asciiTheme="majorHAnsi" w:hAnsiTheme="majorHAnsi"/>
        </w:rPr>
      </w:pPr>
    </w:p>
    <w:p w14:paraId="6BE4E6AB" w14:textId="09C78911" w:rsidR="00EF1EC8" w:rsidRDefault="00EF1EC8" w:rsidP="00EF1EC8">
      <w:pPr>
        <w:spacing w:after="0"/>
        <w:jc w:val="both"/>
        <w:rPr>
          <w:rFonts w:asciiTheme="majorHAnsi" w:hAnsiTheme="majorHAnsi"/>
          <w:b/>
          <w:bCs/>
        </w:rPr>
      </w:pPr>
      <w:r w:rsidRPr="00EF1EC8">
        <w:rPr>
          <w:rFonts w:asciiTheme="majorHAnsi" w:hAnsiTheme="majorHAnsi"/>
          <w:b/>
          <w:bCs/>
        </w:rPr>
        <w:t>Conclusión</w:t>
      </w:r>
    </w:p>
    <w:p w14:paraId="699F77E7" w14:textId="77777777" w:rsidR="00EF1EC8" w:rsidRPr="00EF1EC8" w:rsidRDefault="00EF1EC8" w:rsidP="00EF1EC8">
      <w:pPr>
        <w:spacing w:after="0"/>
        <w:jc w:val="both"/>
        <w:rPr>
          <w:rFonts w:asciiTheme="majorHAnsi" w:hAnsiTheme="majorHAnsi"/>
          <w:b/>
          <w:bCs/>
        </w:rPr>
      </w:pPr>
    </w:p>
    <w:p w14:paraId="47722CD3" w14:textId="25C7D9B9" w:rsidR="00EF1EC8" w:rsidRDefault="00EF1EC8" w:rsidP="00EF1EC8">
      <w:pPr>
        <w:spacing w:after="0"/>
        <w:jc w:val="both"/>
        <w:rPr>
          <w:rFonts w:asciiTheme="majorHAnsi" w:hAnsiTheme="majorHAnsi"/>
        </w:rPr>
      </w:pPr>
      <w:r w:rsidRPr="00EF1EC8">
        <w:rPr>
          <w:rFonts w:asciiTheme="majorHAnsi" w:hAnsiTheme="majorHAnsi"/>
        </w:rPr>
        <w:t>Con base en los fundamentos expuestos, esta Subdirección reitera la imposibilidad de asistir de manera presencial a la jornada del 15 de julio de 2026. El Ministerio del Interior no es destinatario de las órdenes del fallo y la solicitud vulnera los principios de planeación administrativa.</w:t>
      </w:r>
    </w:p>
    <w:p w14:paraId="165E3858" w14:textId="77777777" w:rsidR="00EF1EC8" w:rsidRPr="00EF1EC8" w:rsidRDefault="00EF1EC8" w:rsidP="00EF1EC8">
      <w:pPr>
        <w:spacing w:after="0"/>
        <w:jc w:val="both"/>
        <w:rPr>
          <w:rFonts w:asciiTheme="majorHAnsi" w:hAnsiTheme="majorHAnsi"/>
        </w:rPr>
      </w:pPr>
    </w:p>
    <w:p w14:paraId="022E7A7D" w14:textId="77777777" w:rsidR="00EF1EC8" w:rsidRDefault="00EF1EC8" w:rsidP="00EF1EC8">
      <w:pPr>
        <w:spacing w:after="0"/>
        <w:jc w:val="both"/>
        <w:rPr>
          <w:rFonts w:asciiTheme="majorHAnsi" w:hAnsiTheme="majorHAnsi"/>
        </w:rPr>
      </w:pPr>
      <w:r w:rsidRPr="00EF1EC8">
        <w:rPr>
          <w:rFonts w:asciiTheme="majorHAnsi" w:hAnsiTheme="majorHAnsi"/>
        </w:rPr>
        <w:t>No obstante, en virtud del principio de colaboración armónica entre las entidades del Estado consagrado en el artículo 113 de la Constitución Política, este ministerio propone como fórmula alternativa la realización de una mesa de trabajo técnica y virtual previa. Esta propuesta se formula dentro de las competencias de asistencia técnica consagradas en el artículo 18, numeral 9, del Decreto 2893 de 2011. Dicha articulación quedará explícitamente condicionada a que la Alcaldía de Ibagué remita formalmente a esta cartera la copia del censo pormenorizado y actualizado ordenado por el Consejo de Estado, junto con la copia de la providencia judicial de segunda instancia.</w:t>
      </w:r>
    </w:p>
    <w:p w14:paraId="3141A4D5" w14:textId="77777777" w:rsidR="00EF1EC8" w:rsidRPr="00EF1EC8" w:rsidRDefault="00EF1EC8" w:rsidP="00EF1EC8">
      <w:pPr>
        <w:spacing w:after="0"/>
        <w:jc w:val="both"/>
        <w:rPr>
          <w:rFonts w:asciiTheme="majorHAnsi" w:hAnsiTheme="majorHAnsi"/>
        </w:rPr>
      </w:pPr>
    </w:p>
    <w:p w14:paraId="4C1DCD19" w14:textId="77777777" w:rsidR="00EF1EC8" w:rsidRDefault="00EF1EC8" w:rsidP="00EF1EC8">
      <w:pPr>
        <w:spacing w:after="0"/>
        <w:jc w:val="both"/>
        <w:rPr>
          <w:rFonts w:asciiTheme="majorHAnsi" w:hAnsiTheme="majorHAnsi"/>
        </w:rPr>
      </w:pPr>
      <w:r w:rsidRPr="00EF1EC8">
        <w:rPr>
          <w:rFonts w:asciiTheme="majorHAnsi" w:hAnsiTheme="majorHAnsi"/>
        </w:rPr>
        <w:t>Finalmente, se le informa que se remitirá copia íntegra de este pronunciamiento al Magistrado Sustanciador del Tribunal Administrativo del Tolima en su calidad de presidente del Comité de Verificación de cumplimiento del fallo. Esto se realiza con el propósito técnico de dejar constancia ante la autoridad judicial de que el Ministerio del Interior no se encuentra en una postura de renuencia u desacato. Es la administración municipal la que pretende desbordar el alcance subjetivo de la sentencia mediante citaciones extemporáneas que carecen de soporte técnico y legal.</w:t>
      </w:r>
    </w:p>
    <w:p w14:paraId="19CDBDB7" w14:textId="77777777" w:rsidR="00EF1EC8" w:rsidRPr="00EF1EC8" w:rsidRDefault="00EF1EC8" w:rsidP="00EF1EC8">
      <w:pPr>
        <w:spacing w:after="0"/>
        <w:jc w:val="both"/>
        <w:rPr>
          <w:rFonts w:asciiTheme="majorHAnsi" w:hAnsiTheme="majorHAnsi"/>
        </w:rPr>
      </w:pPr>
    </w:p>
    <w:p w14:paraId="2E52210F" w14:textId="77777777" w:rsidR="00EF1EC8" w:rsidRPr="00EF1EC8" w:rsidRDefault="00EF1EC8" w:rsidP="00EF1EC8">
      <w:pPr>
        <w:spacing w:after="0"/>
        <w:jc w:val="both"/>
        <w:rPr>
          <w:rFonts w:asciiTheme="majorHAnsi" w:hAnsiTheme="majorHAnsi"/>
        </w:rPr>
      </w:pPr>
      <w:r w:rsidRPr="00EF1EC8">
        <w:rPr>
          <w:rFonts w:asciiTheme="majorHAnsi" w:hAnsiTheme="majorHAnsi"/>
        </w:rPr>
        <w:t>Cordialmente,</w:t>
      </w:r>
    </w:p>
    <w:p w14:paraId="1800EA36" w14:textId="77777777" w:rsidR="00EF1EC8" w:rsidRDefault="00EF1EC8" w:rsidP="00EF1EC8">
      <w:pPr>
        <w:spacing w:after="0"/>
        <w:jc w:val="both"/>
        <w:rPr>
          <w:rFonts w:asciiTheme="majorHAnsi" w:hAnsiTheme="majorHAnsi"/>
          <w:b/>
          <w:bCs/>
        </w:rPr>
      </w:pPr>
    </w:p>
    <w:p w14:paraId="26C63A87" w14:textId="77777777" w:rsidR="00EF1EC8" w:rsidRDefault="00EF1EC8" w:rsidP="00EF1EC8">
      <w:pPr>
        <w:spacing w:after="0"/>
        <w:jc w:val="both"/>
        <w:rPr>
          <w:rFonts w:asciiTheme="majorHAnsi" w:hAnsiTheme="majorHAnsi"/>
          <w:b/>
          <w:bCs/>
        </w:rPr>
      </w:pPr>
    </w:p>
    <w:p w14:paraId="3FDC5F59" w14:textId="77777777" w:rsidR="00EF1EC8" w:rsidRDefault="00EF1EC8" w:rsidP="00EF1EC8">
      <w:pPr>
        <w:spacing w:after="0"/>
        <w:jc w:val="both"/>
        <w:rPr>
          <w:rFonts w:asciiTheme="majorHAnsi" w:hAnsiTheme="majorHAnsi"/>
          <w:b/>
          <w:bCs/>
        </w:rPr>
      </w:pPr>
    </w:p>
    <w:p w14:paraId="0BF4E6C6" w14:textId="77777777" w:rsidR="00EF1EC8" w:rsidRDefault="00EF1EC8" w:rsidP="00EF1EC8">
      <w:pPr>
        <w:spacing w:after="0"/>
        <w:jc w:val="both"/>
        <w:rPr>
          <w:rFonts w:asciiTheme="majorHAnsi" w:hAnsiTheme="majorHAnsi"/>
          <w:b/>
          <w:bCs/>
        </w:rPr>
      </w:pPr>
    </w:p>
    <w:p w14:paraId="6A1FFD24" w14:textId="68626B26" w:rsidR="00EF1EC8" w:rsidRDefault="00EF1EC8" w:rsidP="00EF1EC8">
      <w:pPr>
        <w:spacing w:after="0"/>
        <w:jc w:val="both"/>
        <w:rPr>
          <w:rFonts w:asciiTheme="majorHAnsi" w:hAnsiTheme="majorHAnsi"/>
          <w:sz w:val="18"/>
          <w:szCs w:val="15"/>
        </w:rPr>
      </w:pPr>
      <w:r w:rsidRPr="00EF1EC8">
        <w:rPr>
          <w:rFonts w:asciiTheme="majorHAnsi" w:hAnsiTheme="majorHAnsi"/>
          <w:sz w:val="18"/>
          <w:szCs w:val="15"/>
        </w:rPr>
        <w:t>Elaboró: Christian Joaqui Tapia</w:t>
      </w:r>
    </w:p>
    <w:p w14:paraId="32DDA6DA" w14:textId="3CCB2FCD" w:rsidR="00EF1EC8" w:rsidRPr="00EF1EC8" w:rsidRDefault="00EF1EC8" w:rsidP="00EF1EC8">
      <w:pPr>
        <w:spacing w:after="0"/>
        <w:jc w:val="both"/>
        <w:rPr>
          <w:rFonts w:asciiTheme="majorHAnsi" w:hAnsiTheme="majorHAnsi"/>
          <w:sz w:val="18"/>
          <w:szCs w:val="15"/>
        </w:rPr>
      </w:pPr>
      <w:r>
        <w:rPr>
          <w:rFonts w:asciiTheme="majorHAnsi" w:hAnsiTheme="majorHAnsi"/>
          <w:sz w:val="18"/>
          <w:szCs w:val="15"/>
        </w:rPr>
        <w:t>Revisó: Dangelly Aldana</w:t>
      </w:r>
    </w:p>
    <w:p w14:paraId="5D830AA8" w14:textId="77777777" w:rsidR="00EF1EC8" w:rsidRDefault="00EF1EC8" w:rsidP="00EF1EC8">
      <w:pPr>
        <w:spacing w:after="0"/>
        <w:jc w:val="both"/>
        <w:rPr>
          <w:rFonts w:asciiTheme="majorHAnsi" w:hAnsiTheme="majorHAnsi"/>
          <w:b/>
          <w:bCs/>
        </w:rPr>
      </w:pPr>
    </w:p>
    <w:p w14:paraId="09F43A9B" w14:textId="683F3FE4" w:rsidR="00EF1EC8" w:rsidRPr="00EF1EC8" w:rsidRDefault="00EF1EC8" w:rsidP="00EF1EC8">
      <w:pPr>
        <w:spacing w:after="0"/>
        <w:jc w:val="both"/>
        <w:rPr>
          <w:rFonts w:asciiTheme="majorHAnsi" w:hAnsiTheme="majorHAnsi"/>
          <w:sz w:val="20"/>
          <w:szCs w:val="16"/>
        </w:rPr>
      </w:pPr>
      <w:r w:rsidRPr="00EF1EC8">
        <w:rPr>
          <w:rFonts w:asciiTheme="majorHAnsi" w:hAnsiTheme="majorHAnsi"/>
          <w:b/>
          <w:bCs/>
          <w:sz w:val="20"/>
          <w:szCs w:val="16"/>
        </w:rPr>
        <w:t>C.C.</w:t>
      </w:r>
      <w:r w:rsidRPr="00EF1EC8">
        <w:rPr>
          <w:rFonts w:asciiTheme="majorHAnsi" w:hAnsiTheme="majorHAnsi"/>
          <w:sz w:val="20"/>
          <w:szCs w:val="16"/>
        </w:rPr>
        <w:t xml:space="preserve"> Magistrado Ponente, Tribunal Administrativo del Tolima - Presidente del Comité de Verificación (Para su incorporación al expediente Rad. 73001-23-33-000-2023-00231-01).</w:t>
      </w:r>
    </w:p>
    <w:p w14:paraId="0B89049C" w14:textId="77777777" w:rsidR="00785F77" w:rsidRPr="00EF1EC8" w:rsidRDefault="00785F77" w:rsidP="00EF1EC8">
      <w:pPr>
        <w:spacing w:after="0"/>
        <w:jc w:val="both"/>
        <w:rPr>
          <w:rFonts w:asciiTheme="majorHAnsi" w:hAnsiTheme="majorHAnsi"/>
        </w:rPr>
      </w:pPr>
    </w:p>
    <w:sectPr w:rsidR="00785F77" w:rsidRPr="00EF1EC8">
      <w:headerReference w:type="even" r:id="rId7"/>
      <w:headerReference w:type="default" r:id="rId8"/>
      <w:footerReference w:type="default" r:id="rId9"/>
      <w:headerReference w:type="first" r:id="rId10"/>
      <w:footerReference w:type="first" r:id="rId11"/>
      <w:pgSz w:w="12240" w:h="15840"/>
      <w:pgMar w:top="1701" w:right="1701" w:bottom="1418" w:left="1701" w:header="454"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F59CE" w14:textId="77777777" w:rsidR="00E51B12" w:rsidRDefault="00E51B12">
      <w:pPr>
        <w:spacing w:after="0" w:line="240" w:lineRule="auto"/>
      </w:pPr>
      <w:r>
        <w:separator/>
      </w:r>
    </w:p>
  </w:endnote>
  <w:endnote w:type="continuationSeparator" w:id="0">
    <w:p w14:paraId="2056181D" w14:textId="77777777" w:rsidR="00E51B12" w:rsidRDefault="00E51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Light">
    <w:altName w:val="HELVETICA LIGHT"/>
    <w:panose1 w:val="020B0403020202020204"/>
    <w:charset w:val="00"/>
    <w:family w:val="swiss"/>
    <w:pitch w:val="variable"/>
    <w:sig w:usb0="800000AF" w:usb1="4000204A" w:usb2="00000000" w:usb3="00000000" w:csb0="00000001" w:csb1="00000000"/>
  </w:font>
  <w:font w:name="Work Sans SemiBold">
    <w:panose1 w:val="00000000000000000000"/>
    <w:charset w:val="4D"/>
    <w:family w:val="auto"/>
    <w:pitch w:val="variable"/>
    <w:sig w:usb0="A00000FF" w:usb1="5000E07B" w:usb2="00000000" w:usb3="00000000" w:csb0="00000193" w:csb1="00000000"/>
  </w:font>
  <w:font w:name="Work Sans">
    <w:panose1 w:val="00000000000000000000"/>
    <w:charset w:val="4D"/>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AF" w14:textId="77777777" w:rsidR="00785F77" w:rsidRDefault="00013EE8">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tab/>
    </w:r>
    <w:r>
      <w:rPr>
        <w:rFonts w:ascii="Arial" w:hAnsi="Arial"/>
        <w:i/>
        <w:sz w:val="18"/>
      </w:rPr>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N° 8-46 </w:t>
    </w:r>
    <w:r>
      <w:rPr>
        <w:rFonts w:ascii="Work Sans" w:hAnsi="Work Sans"/>
        <w:color w:val="31849B" w:themeColor="accent5" w:themeShade="BF"/>
        <w:sz w:val="16"/>
      </w:rPr>
      <w:tab/>
      <w:t xml:space="preserve">                        </w:t>
    </w:r>
    <w:hyperlink r:id="rId1" w:history="1">
      <w:r>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 xml:space="preserve">Tel: 242 7400.   www.mininterior.gov.co         </w:t>
    </w:r>
    <w:r>
      <w:rPr>
        <w:rFonts w:ascii="Work Sans" w:hAnsi="Work Sans"/>
        <w:color w:val="31849B" w:themeColor="accent5" w:themeShade="BF"/>
        <w:sz w:val="16"/>
      </w:rPr>
      <w:tab/>
      <w:t xml:space="preserve">                      Línea gratuita 01 8000 91 04 03</w:t>
    </w:r>
    <w:r>
      <w:rPr>
        <w:rFonts w:ascii="Work Sans" w:hAnsi="Work Sans"/>
        <w:color w:val="31849B" w:themeColor="accent5" w:themeShade="BF"/>
        <w:sz w:val="16"/>
      </w:rPr>
      <w:br/>
      <w:t>Bogotá, D.C. Colombia – Sur América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BB" w14:textId="77777777" w:rsidR="00785F77" w:rsidRDefault="00013EE8">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b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N° 8-46 </w:t>
    </w:r>
    <w:r>
      <w:rPr>
        <w:rFonts w:ascii="Work Sans" w:hAnsi="Work Sans"/>
        <w:color w:val="31849B" w:themeColor="accent5" w:themeShade="BF"/>
        <w:sz w:val="16"/>
      </w:rPr>
      <w:tab/>
      <w:t xml:space="preserve">             </w:t>
    </w:r>
    <w:hyperlink r:id="rId1" w:history="1">
      <w:r>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Tel: 242 7400.   www.mininterior.gov.co          Línea gratuita 01 8000 91 04 03</w:t>
    </w:r>
    <w:r>
      <w:rPr>
        <w:rFonts w:ascii="Work Sans" w:hAnsi="Work Sans"/>
        <w:color w:val="31849B" w:themeColor="accent5" w:themeShade="BF"/>
        <w:sz w:val="16"/>
      </w:rPr>
      <w:br/>
      <w:t>Bogotá, D.C. Colombia – Sur América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F3A63" w14:textId="77777777" w:rsidR="00E51B12" w:rsidRDefault="00E51B12">
      <w:pPr>
        <w:spacing w:after="0" w:line="240" w:lineRule="auto"/>
      </w:pPr>
      <w:r>
        <w:separator/>
      </w:r>
    </w:p>
  </w:footnote>
  <w:footnote w:type="continuationSeparator" w:id="0">
    <w:p w14:paraId="5DD61D3A" w14:textId="77777777" w:rsidR="00E51B12" w:rsidRDefault="00E51B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9D" w14:textId="77777777" w:rsidR="00785F77" w:rsidRDefault="00785F77">
    <w:pPr>
      <w:pStyle w:val="Encabezado"/>
      <w:rPr>
        <w:rFonts w:ascii="Arial" w:hAnsi="Arial"/>
      </w:rPr>
    </w:pPr>
  </w:p>
  <w:p w14:paraId="0B89049E" w14:textId="77777777" w:rsidR="00785F77" w:rsidRDefault="00785F77">
    <w:pPr>
      <w:pStyle w:val="Encabezado"/>
      <w:rPr>
        <w:rFonts w:ascii="Arial" w:hAnsi="Arial"/>
      </w:rPr>
    </w:pPr>
  </w:p>
  <w:p w14:paraId="0B89049F" w14:textId="77777777" w:rsidR="00785F77" w:rsidRDefault="00785F77">
    <w:pPr>
      <w:pStyle w:val="Encabezado"/>
      <w:rPr>
        <w:rFonts w:ascii="Arial" w:hAnsi="Arial"/>
      </w:rPr>
    </w:pPr>
  </w:p>
  <w:p w14:paraId="0B8904A0" w14:textId="77777777" w:rsidR="00785F77" w:rsidRDefault="00013EE8">
    <w:pPr>
      <w:pStyle w:val="Encabezado"/>
      <w:spacing w:after="240"/>
      <w:jc w:val="both"/>
      <w:rPr>
        <w:rFonts w:ascii="Arial" w:hAnsi="Arial"/>
        <w:i/>
        <w:sz w:val="18"/>
      </w:rPr>
    </w:pPr>
    <w:r>
      <w:rPr>
        <w:rFonts w:ascii="Arial" w:hAnsi="Arial"/>
        <w:i/>
        <w:sz w:val="18"/>
      </w:rPr>
      <w:t>Continuación [CODE]-DMI-1000</w:t>
    </w:r>
    <w:r>
      <w:rPr>
        <w:rFonts w:ascii="Arial" w:hAnsi="Arial"/>
        <w:i/>
        <w:sz w:val="18"/>
      </w:rPr>
      <w:tab/>
    </w:r>
    <w:r>
      <w:rPr>
        <w:rFonts w:ascii="Arial" w:hAnsi="Arial"/>
        <w:i/>
        <w:sz w:val="18"/>
      </w:rPr>
      <w:tab/>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A1" w14:textId="77777777" w:rsidR="00785F77" w:rsidRDefault="00785F77">
    <w:pPr>
      <w:pStyle w:val="Encabezado"/>
      <w:rPr>
        <w:noProof/>
        <w:lang w:eastAsia="es-CO"/>
      </w:rPr>
    </w:pPr>
  </w:p>
  <w:p w14:paraId="0B8904A2" w14:textId="77777777" w:rsidR="00785F77" w:rsidRDefault="00785F77">
    <w:pPr>
      <w:pStyle w:val="Encabezado"/>
      <w:rPr>
        <w:noProof/>
        <w:lang w:eastAsia="es-CO"/>
      </w:rPr>
    </w:pPr>
  </w:p>
  <w:p w14:paraId="0B8904A3" w14:textId="77777777" w:rsidR="00785F77" w:rsidRDefault="00013EE8">
    <w:pPr>
      <w:pStyle w:val="Encabezado"/>
      <w:rPr>
        <w:noProof/>
        <w:lang w:eastAsia="es-CO"/>
      </w:rPr>
    </w:pPr>
    <w:r>
      <w:rPr>
        <w:noProof/>
      </w:rPr>
      <w:drawing>
        <wp:anchor distT="0" distB="0" distL="114300" distR="114300" simplePos="0" relativeHeight="251658240" behindDoc="1" locked="0" layoutInCell="1" allowOverlap="1" wp14:anchorId="0B8904BC" wp14:editId="0B8904BD">
          <wp:simplePos x="0" y="0"/>
          <wp:positionH relativeFrom="column">
            <wp:posOffset>-3810</wp:posOffset>
          </wp:positionH>
          <wp:positionV relativeFrom="paragraph">
            <wp:posOffset>-2540</wp:posOffset>
          </wp:positionV>
          <wp:extent cx="1234440" cy="105791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234440" cy="1057910"/>
                  </a:xfrm>
                  <a:prstGeom prst="rect">
                    <a:avLst/>
                  </a:prstGeom>
                  <a:noFill/>
                </pic:spPr>
              </pic:pic>
            </a:graphicData>
          </a:graphic>
        </wp:anchor>
      </w:drawing>
    </w:r>
  </w:p>
  <w:tbl>
    <w:tblPr>
      <w:tblStyle w:val="Tablaconcuadrcula"/>
      <w:tblW w:w="5787" w:type="dxa"/>
      <w:tblInd w:w="4167" w:type="dxa"/>
      <w:tblBorders>
        <w:insideH w:val="none" w:sz="0" w:space="0" w:color="auto"/>
        <w:insideV w:val="none" w:sz="0" w:space="0" w:color="auto"/>
      </w:tblBorders>
      <w:tblLook w:val="04A0" w:firstRow="1" w:lastRow="0" w:firstColumn="1" w:lastColumn="0" w:noHBand="0" w:noVBand="1"/>
    </w:tblPr>
    <w:tblGrid>
      <w:gridCol w:w="4514"/>
      <w:gridCol w:w="1273"/>
    </w:tblGrid>
    <w:tr w:rsidR="00785F77" w14:paraId="0B8904AB" w14:textId="77777777">
      <w:trPr>
        <w:trHeight w:val="1034"/>
      </w:trPr>
      <w:tc>
        <w:tcPr>
          <w:tcW w:w="4514" w:type="dxa"/>
        </w:tcPr>
        <w:p w14:paraId="0B8904A4"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R4D1C4D0_1</w:t>
          </w:r>
        </w:p>
        <w:p w14:paraId="0B8904A5"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R4D1C4D0_2</w:t>
          </w:r>
        </w:p>
        <w:p w14:paraId="0B8904A6"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 xml:space="preserve">R4D1C4D0_3                                                                          </w:t>
          </w:r>
        </w:p>
        <w:p w14:paraId="0B8904A7"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R4D1C4D0_4</w:t>
          </w:r>
        </w:p>
        <w:p w14:paraId="0B8904A8" w14:textId="77777777" w:rsidR="00785F77" w:rsidRDefault="00013EE8">
          <w:pPr>
            <w:pStyle w:val="Encabezado"/>
            <w:rPr>
              <w:rFonts w:ascii="Helvetica Light" w:hAnsi="Helvetica Light"/>
              <w:sz w:val="14"/>
              <w:lang w:val="en-US"/>
            </w:rPr>
          </w:pPr>
          <w:r>
            <w:rPr>
              <w:rFonts w:ascii="Helvetica Light" w:hAnsi="Helvetica Light"/>
              <w:sz w:val="14"/>
              <w:lang w:val="en-US"/>
            </w:rPr>
            <w:t>R4D1C4D0_5</w:t>
          </w:r>
        </w:p>
        <w:p w14:paraId="0B8904A9" w14:textId="77777777" w:rsidR="00785F77" w:rsidRDefault="00013EE8">
          <w:pPr>
            <w:pStyle w:val="Encabezado"/>
          </w:pPr>
          <w:r>
            <w:rPr>
              <w:rFonts w:ascii="Helvetica Light" w:hAnsi="Helvetica Light"/>
              <w:sz w:val="14"/>
            </w:rPr>
            <w:t>R4D1C4D0_6</w:t>
          </w:r>
        </w:p>
      </w:tc>
      <w:tc>
        <w:tcPr>
          <w:tcW w:w="1273" w:type="dxa"/>
        </w:tcPr>
        <w:p w14:paraId="0B8904AA" w14:textId="77777777" w:rsidR="00785F77" w:rsidRDefault="00013EE8">
          <w:pPr>
            <w:pStyle w:val="Encabezado"/>
          </w:pPr>
          <w:r>
            <w:rPr>
              <w:sz w:val="18"/>
            </w:rPr>
            <w:t>QRC0D1G0</w:t>
          </w:r>
        </w:p>
      </w:tc>
    </w:tr>
  </w:tbl>
  <w:p w14:paraId="0B8904AC" w14:textId="77777777" w:rsidR="00785F77" w:rsidRDefault="00785F77">
    <w:pPr>
      <w:pStyle w:val="Encabezado"/>
    </w:pPr>
  </w:p>
  <w:p w14:paraId="0B8904AD" w14:textId="77777777" w:rsidR="00785F77" w:rsidRDefault="00785F77">
    <w:pPr>
      <w:pStyle w:val="Encabezado"/>
    </w:pPr>
  </w:p>
  <w:p w14:paraId="0B8904AE" w14:textId="77777777" w:rsidR="00785F77" w:rsidRDefault="00785F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B0" w14:textId="77777777" w:rsidR="00785F77" w:rsidRDefault="00013EE8">
    <w:pPr>
      <w:pStyle w:val="Encabezado"/>
    </w:pPr>
    <w:r>
      <w:rPr>
        <w:noProof/>
      </w:rPr>
      <w:drawing>
        <wp:inline distT="0" distB="0" distL="0" distR="0" wp14:anchorId="0B8904BE" wp14:editId="0B8904BF">
          <wp:extent cx="3086100" cy="52514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3086100" cy="525145"/>
                  </a:xfrm>
                  <a:prstGeom prst="rect">
                    <a:avLst/>
                  </a:prstGeom>
                  <a:noFill/>
                </pic:spPr>
              </pic:pic>
            </a:graphicData>
          </a:graphic>
        </wp:inline>
      </w:drawing>
    </w:r>
    <w:r>
      <w:rPr>
        <w:noProof/>
        <w:lang w:eastAsia="es-CO"/>
      </w:rPr>
      <w:t xml:space="preserve">                      </w:t>
    </w:r>
  </w:p>
  <w:p w14:paraId="0B8904B1" w14:textId="77777777" w:rsidR="00785F77" w:rsidRDefault="00013EE8">
    <w:pPr>
      <w:pStyle w:val="Encabezado"/>
    </w:pPr>
    <w:r>
      <w:t xml:space="preserve">                                                                                                                   </w:t>
    </w: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785F77" w14:paraId="0B8904B9" w14:textId="77777777">
      <w:trPr>
        <w:trHeight w:val="1408"/>
      </w:trPr>
      <w:tc>
        <w:tcPr>
          <w:tcW w:w="4537" w:type="dxa"/>
        </w:tcPr>
        <w:p w14:paraId="0B8904B2" w14:textId="77777777" w:rsidR="00785F77" w:rsidRDefault="00013EE8">
          <w:pPr>
            <w:pStyle w:val="Encabezado"/>
            <w:tabs>
              <w:tab w:val="clear" w:pos="4419"/>
              <w:tab w:val="left" w:pos="7500"/>
            </w:tabs>
            <w:jc w:val="center"/>
            <w:rPr>
              <w:rFonts w:ascii="Arial" w:hAnsi="Arial"/>
              <w:sz w:val="18"/>
              <w:lang w:val="pt-BR" w:eastAsia="es-CO"/>
            </w:rPr>
          </w:pPr>
          <w:r>
            <w:rPr>
              <w:rFonts w:ascii="Arial" w:hAnsi="Arial"/>
              <w:sz w:val="18"/>
              <w:highlight w:val="white"/>
              <w:lang w:val="pt-BR"/>
            </w:rPr>
            <w:t>R3DkODE-39</w:t>
          </w:r>
        </w:p>
        <w:p w14:paraId="0B8904B3" w14:textId="77777777" w:rsidR="00785F77" w:rsidRDefault="00785F77">
          <w:pPr>
            <w:pStyle w:val="Encabezado"/>
            <w:tabs>
              <w:tab w:val="clear" w:pos="4419"/>
              <w:tab w:val="left" w:pos="7500"/>
            </w:tabs>
            <w:jc w:val="center"/>
            <w:rPr>
              <w:rFonts w:ascii="Arial" w:hAnsi="Arial"/>
              <w:sz w:val="18"/>
              <w:lang w:val="pt-BR"/>
            </w:rPr>
          </w:pPr>
        </w:p>
        <w:p w14:paraId="0B8904B4" w14:textId="77777777" w:rsidR="00785F77" w:rsidRDefault="00013EE8">
          <w:pPr>
            <w:pStyle w:val="Sinespaciado"/>
            <w:jc w:val="both"/>
            <w:rPr>
              <w:rFonts w:ascii="Arial" w:hAnsi="Arial"/>
              <w:sz w:val="14"/>
              <w:lang w:val="pt-BR"/>
            </w:rPr>
          </w:pPr>
          <w:r>
            <w:rPr>
              <w:rFonts w:ascii="Arial" w:hAnsi="Arial"/>
              <w:sz w:val="14"/>
              <w:lang w:val="pt-BR"/>
            </w:rPr>
            <w:t>R4D1C4D0_1</w:t>
          </w:r>
        </w:p>
        <w:p w14:paraId="0B8904B5" w14:textId="77777777" w:rsidR="00785F77" w:rsidRDefault="00013EE8">
          <w:pPr>
            <w:pStyle w:val="Sinespaciado"/>
            <w:jc w:val="both"/>
            <w:rPr>
              <w:rFonts w:ascii="Arial" w:hAnsi="Arial"/>
              <w:sz w:val="14"/>
              <w:lang w:val="pt-BR"/>
            </w:rPr>
          </w:pPr>
          <w:r>
            <w:rPr>
              <w:rFonts w:ascii="Arial" w:hAnsi="Arial"/>
              <w:sz w:val="14"/>
              <w:lang w:val="pt-BR"/>
            </w:rPr>
            <w:t>R4D1C4D0_2</w:t>
          </w:r>
        </w:p>
        <w:p w14:paraId="0B8904B6" w14:textId="77777777" w:rsidR="00785F77" w:rsidRDefault="00013EE8">
          <w:pPr>
            <w:pStyle w:val="Sinespaciado"/>
            <w:jc w:val="both"/>
            <w:rPr>
              <w:rFonts w:ascii="Arial" w:hAnsi="Arial"/>
              <w:sz w:val="14"/>
              <w:lang w:val="pt-BR"/>
            </w:rPr>
          </w:pPr>
          <w:r>
            <w:rPr>
              <w:rFonts w:ascii="Arial" w:hAnsi="Arial"/>
              <w:sz w:val="14"/>
              <w:lang w:val="pt-BR"/>
            </w:rPr>
            <w:t>R4D1C4D0_3</w:t>
          </w:r>
        </w:p>
        <w:p w14:paraId="0B8904B7" w14:textId="77777777" w:rsidR="00785F77" w:rsidRDefault="00013EE8">
          <w:pPr>
            <w:pStyle w:val="Sinespaciado"/>
            <w:jc w:val="both"/>
            <w:rPr>
              <w:rFonts w:ascii="Arial" w:hAnsi="Arial"/>
              <w:sz w:val="14"/>
              <w:lang w:val="pt-BR"/>
            </w:rPr>
          </w:pPr>
          <w:r>
            <w:rPr>
              <w:rFonts w:ascii="Arial" w:hAnsi="Arial"/>
              <w:sz w:val="14"/>
              <w:lang w:val="pt-BR"/>
            </w:rPr>
            <w:t>R4D1C4D0_4</w:t>
          </w:r>
        </w:p>
        <w:p w14:paraId="0B8904B8" w14:textId="77777777" w:rsidR="00785F77" w:rsidRDefault="00013EE8">
          <w:pPr>
            <w:pStyle w:val="Encabezado"/>
          </w:pPr>
          <w:r>
            <w:rPr>
              <w:rFonts w:ascii="Arial" w:hAnsi="Arial"/>
              <w:sz w:val="14"/>
            </w:rPr>
            <w:t>R4D1C4D0_5</w:t>
          </w:r>
        </w:p>
      </w:tc>
    </w:tr>
  </w:tbl>
  <w:p w14:paraId="0B8904BA" w14:textId="77777777" w:rsidR="00785F77" w:rsidRDefault="00785F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39A"/>
    <w:multiLevelType w:val="hybridMultilevel"/>
    <w:tmpl w:val="6206F1C6"/>
    <w:lvl w:ilvl="0" w:tplc="DA929508">
      <w:start w:val="1"/>
      <w:numFmt w:val="lowerLetter"/>
      <w:lvlText w:val="%1)"/>
      <w:lvlJc w:val="left"/>
      <w:pPr>
        <w:ind w:left="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A02E1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AA66A8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DAEE5D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1A06B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91CD27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BE656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B2840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4D2185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2323F08"/>
    <w:multiLevelType w:val="hybridMultilevel"/>
    <w:tmpl w:val="B442D20C"/>
    <w:lvl w:ilvl="0" w:tplc="684816C4">
      <w:start w:val="1"/>
      <w:numFmt w:val="decimal"/>
      <w:lvlText w:val="%1."/>
      <w:lvlJc w:val="left"/>
      <w:pPr>
        <w:ind w:left="726" w:hanging="360"/>
      </w:pPr>
      <w:rPr>
        <w:rFonts w:hint="default"/>
      </w:rPr>
    </w:lvl>
    <w:lvl w:ilvl="1" w:tplc="080A0019" w:tentative="1">
      <w:start w:val="1"/>
      <w:numFmt w:val="lowerLetter"/>
      <w:lvlText w:val="%2."/>
      <w:lvlJc w:val="left"/>
      <w:pPr>
        <w:ind w:left="1446" w:hanging="360"/>
      </w:pPr>
    </w:lvl>
    <w:lvl w:ilvl="2" w:tplc="080A001B" w:tentative="1">
      <w:start w:val="1"/>
      <w:numFmt w:val="lowerRoman"/>
      <w:lvlText w:val="%3."/>
      <w:lvlJc w:val="right"/>
      <w:pPr>
        <w:ind w:left="2166" w:hanging="180"/>
      </w:pPr>
    </w:lvl>
    <w:lvl w:ilvl="3" w:tplc="080A000F" w:tentative="1">
      <w:start w:val="1"/>
      <w:numFmt w:val="decimal"/>
      <w:lvlText w:val="%4."/>
      <w:lvlJc w:val="left"/>
      <w:pPr>
        <w:ind w:left="2886" w:hanging="360"/>
      </w:pPr>
    </w:lvl>
    <w:lvl w:ilvl="4" w:tplc="080A0019" w:tentative="1">
      <w:start w:val="1"/>
      <w:numFmt w:val="lowerLetter"/>
      <w:lvlText w:val="%5."/>
      <w:lvlJc w:val="left"/>
      <w:pPr>
        <w:ind w:left="3606" w:hanging="360"/>
      </w:pPr>
    </w:lvl>
    <w:lvl w:ilvl="5" w:tplc="080A001B" w:tentative="1">
      <w:start w:val="1"/>
      <w:numFmt w:val="lowerRoman"/>
      <w:lvlText w:val="%6."/>
      <w:lvlJc w:val="right"/>
      <w:pPr>
        <w:ind w:left="4326" w:hanging="180"/>
      </w:pPr>
    </w:lvl>
    <w:lvl w:ilvl="6" w:tplc="080A000F" w:tentative="1">
      <w:start w:val="1"/>
      <w:numFmt w:val="decimal"/>
      <w:lvlText w:val="%7."/>
      <w:lvlJc w:val="left"/>
      <w:pPr>
        <w:ind w:left="5046" w:hanging="360"/>
      </w:pPr>
    </w:lvl>
    <w:lvl w:ilvl="7" w:tplc="080A0019" w:tentative="1">
      <w:start w:val="1"/>
      <w:numFmt w:val="lowerLetter"/>
      <w:lvlText w:val="%8."/>
      <w:lvlJc w:val="left"/>
      <w:pPr>
        <w:ind w:left="5766" w:hanging="360"/>
      </w:pPr>
    </w:lvl>
    <w:lvl w:ilvl="8" w:tplc="080A001B" w:tentative="1">
      <w:start w:val="1"/>
      <w:numFmt w:val="lowerRoman"/>
      <w:lvlText w:val="%9."/>
      <w:lvlJc w:val="right"/>
      <w:pPr>
        <w:ind w:left="6486" w:hanging="180"/>
      </w:pPr>
    </w:lvl>
  </w:abstractNum>
  <w:abstractNum w:abstractNumId="2" w15:restartNumberingAfterBreak="0">
    <w:nsid w:val="600850E9"/>
    <w:multiLevelType w:val="multilevel"/>
    <w:tmpl w:val="9A508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1E3782"/>
    <w:multiLevelType w:val="hybridMultilevel"/>
    <w:tmpl w:val="44FAAA8C"/>
    <w:lvl w:ilvl="0" w:tplc="D1ECFEDC">
      <w:start w:val="1"/>
      <w:numFmt w:val="bullet"/>
      <w:lvlText w:val="-"/>
      <w:lvlJc w:val="left"/>
      <w:pPr>
        <w:ind w:left="720" w:hanging="360"/>
      </w:pPr>
      <w:rPr>
        <w:rFonts w:ascii="Arial" w:hAnsi="Arial"/>
        <w:b/>
      </w:rPr>
    </w:lvl>
    <w:lvl w:ilvl="1" w:tplc="240A0003">
      <w:start w:val="1"/>
      <w:numFmt w:val="bullet"/>
      <w:lvlText w:val="o"/>
      <w:lvlJc w:val="left"/>
      <w:pPr>
        <w:ind w:left="1440" w:hanging="360"/>
      </w:pPr>
      <w:rPr>
        <w:rFonts w:ascii="Courier New" w:hAnsi="Courier New"/>
      </w:rPr>
    </w:lvl>
    <w:lvl w:ilvl="2" w:tplc="240A0005">
      <w:start w:val="1"/>
      <w:numFmt w:val="bullet"/>
      <w:lvlText w:val=""/>
      <w:lvlJc w:val="left"/>
      <w:pPr>
        <w:ind w:left="2160" w:hanging="360"/>
      </w:pPr>
      <w:rPr>
        <w:rFonts w:ascii="Wingdings" w:hAnsi="Wingdings"/>
      </w:rPr>
    </w:lvl>
    <w:lvl w:ilvl="3" w:tplc="240A0001">
      <w:start w:val="1"/>
      <w:numFmt w:val="bullet"/>
      <w:lvlText w:val=""/>
      <w:lvlJc w:val="left"/>
      <w:pPr>
        <w:ind w:left="2880" w:hanging="360"/>
      </w:pPr>
      <w:rPr>
        <w:rFonts w:ascii="Symbol" w:hAnsi="Symbol"/>
      </w:rPr>
    </w:lvl>
    <w:lvl w:ilvl="4" w:tplc="240A0003">
      <w:start w:val="1"/>
      <w:numFmt w:val="bullet"/>
      <w:lvlText w:val="o"/>
      <w:lvlJc w:val="left"/>
      <w:pPr>
        <w:ind w:left="3600" w:hanging="360"/>
      </w:pPr>
      <w:rPr>
        <w:rFonts w:ascii="Courier New" w:hAnsi="Courier New"/>
      </w:rPr>
    </w:lvl>
    <w:lvl w:ilvl="5" w:tplc="240A0005">
      <w:start w:val="1"/>
      <w:numFmt w:val="bullet"/>
      <w:lvlText w:val=""/>
      <w:lvlJc w:val="left"/>
      <w:pPr>
        <w:ind w:left="4320" w:hanging="360"/>
      </w:pPr>
      <w:rPr>
        <w:rFonts w:ascii="Wingdings" w:hAnsi="Wingdings"/>
      </w:rPr>
    </w:lvl>
    <w:lvl w:ilvl="6" w:tplc="240A0001">
      <w:start w:val="1"/>
      <w:numFmt w:val="bullet"/>
      <w:lvlText w:val=""/>
      <w:lvlJc w:val="left"/>
      <w:pPr>
        <w:ind w:left="5040" w:hanging="360"/>
      </w:pPr>
      <w:rPr>
        <w:rFonts w:ascii="Symbol" w:hAnsi="Symbol"/>
      </w:rPr>
    </w:lvl>
    <w:lvl w:ilvl="7" w:tplc="240A0003">
      <w:start w:val="1"/>
      <w:numFmt w:val="bullet"/>
      <w:lvlText w:val="o"/>
      <w:lvlJc w:val="left"/>
      <w:pPr>
        <w:ind w:left="5760" w:hanging="360"/>
      </w:pPr>
      <w:rPr>
        <w:rFonts w:ascii="Courier New" w:hAnsi="Courier New"/>
      </w:rPr>
    </w:lvl>
    <w:lvl w:ilvl="8" w:tplc="240A0005">
      <w:start w:val="1"/>
      <w:numFmt w:val="bullet"/>
      <w:lvlText w:val=""/>
      <w:lvlJc w:val="left"/>
      <w:pPr>
        <w:ind w:left="6480" w:hanging="360"/>
      </w:pPr>
      <w:rPr>
        <w:rFonts w:ascii="Wingdings" w:hAnsi="Wingdings"/>
      </w:rPr>
    </w:lvl>
  </w:abstractNum>
  <w:abstractNum w:abstractNumId="4" w15:restartNumberingAfterBreak="0">
    <w:nsid w:val="737B01FE"/>
    <w:multiLevelType w:val="multilevel"/>
    <w:tmpl w:val="3198F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B643AD"/>
    <w:multiLevelType w:val="hybridMultilevel"/>
    <w:tmpl w:val="36BC49FA"/>
    <w:lvl w:ilvl="0" w:tplc="AAA29D8A">
      <w:start w:val="1"/>
      <w:numFmt w:val="decimal"/>
      <w:lvlText w:val="%1."/>
      <w:lvlJc w:val="left"/>
      <w:pPr>
        <w:ind w:left="345" w:hanging="360"/>
      </w:pPr>
      <w:rPr>
        <w:rFonts w:hint="default"/>
      </w:rPr>
    </w:lvl>
    <w:lvl w:ilvl="1" w:tplc="080A0019" w:tentative="1">
      <w:start w:val="1"/>
      <w:numFmt w:val="lowerLetter"/>
      <w:lvlText w:val="%2."/>
      <w:lvlJc w:val="left"/>
      <w:pPr>
        <w:ind w:left="1065" w:hanging="360"/>
      </w:pPr>
    </w:lvl>
    <w:lvl w:ilvl="2" w:tplc="080A001B" w:tentative="1">
      <w:start w:val="1"/>
      <w:numFmt w:val="lowerRoman"/>
      <w:lvlText w:val="%3."/>
      <w:lvlJc w:val="right"/>
      <w:pPr>
        <w:ind w:left="1785" w:hanging="180"/>
      </w:pPr>
    </w:lvl>
    <w:lvl w:ilvl="3" w:tplc="080A000F" w:tentative="1">
      <w:start w:val="1"/>
      <w:numFmt w:val="decimal"/>
      <w:lvlText w:val="%4."/>
      <w:lvlJc w:val="left"/>
      <w:pPr>
        <w:ind w:left="2505" w:hanging="360"/>
      </w:pPr>
    </w:lvl>
    <w:lvl w:ilvl="4" w:tplc="080A0019" w:tentative="1">
      <w:start w:val="1"/>
      <w:numFmt w:val="lowerLetter"/>
      <w:lvlText w:val="%5."/>
      <w:lvlJc w:val="left"/>
      <w:pPr>
        <w:ind w:left="3225" w:hanging="360"/>
      </w:pPr>
    </w:lvl>
    <w:lvl w:ilvl="5" w:tplc="080A001B" w:tentative="1">
      <w:start w:val="1"/>
      <w:numFmt w:val="lowerRoman"/>
      <w:lvlText w:val="%6."/>
      <w:lvlJc w:val="right"/>
      <w:pPr>
        <w:ind w:left="3945" w:hanging="180"/>
      </w:pPr>
    </w:lvl>
    <w:lvl w:ilvl="6" w:tplc="080A000F" w:tentative="1">
      <w:start w:val="1"/>
      <w:numFmt w:val="decimal"/>
      <w:lvlText w:val="%7."/>
      <w:lvlJc w:val="left"/>
      <w:pPr>
        <w:ind w:left="4665" w:hanging="360"/>
      </w:pPr>
    </w:lvl>
    <w:lvl w:ilvl="7" w:tplc="080A0019" w:tentative="1">
      <w:start w:val="1"/>
      <w:numFmt w:val="lowerLetter"/>
      <w:lvlText w:val="%8."/>
      <w:lvlJc w:val="left"/>
      <w:pPr>
        <w:ind w:left="5385" w:hanging="360"/>
      </w:pPr>
    </w:lvl>
    <w:lvl w:ilvl="8" w:tplc="080A001B" w:tentative="1">
      <w:start w:val="1"/>
      <w:numFmt w:val="lowerRoman"/>
      <w:lvlText w:val="%9."/>
      <w:lvlJc w:val="right"/>
      <w:pPr>
        <w:ind w:left="6105" w:hanging="180"/>
      </w:pPr>
    </w:lvl>
  </w:abstractNum>
  <w:num w:numId="1" w16cid:durableId="765266366">
    <w:abstractNumId w:val="3"/>
  </w:num>
  <w:num w:numId="2" w16cid:durableId="1893805019">
    <w:abstractNumId w:val="0"/>
  </w:num>
  <w:num w:numId="3" w16cid:durableId="402869872">
    <w:abstractNumId w:val="5"/>
  </w:num>
  <w:num w:numId="4" w16cid:durableId="2108455121">
    <w:abstractNumId w:val="1"/>
  </w:num>
  <w:num w:numId="5" w16cid:durableId="614216005">
    <w:abstractNumId w:val="2"/>
  </w:num>
  <w:num w:numId="6" w16cid:durableId="15338795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F77"/>
    <w:rsid w:val="00013EE8"/>
    <w:rsid w:val="00044117"/>
    <w:rsid w:val="001D1293"/>
    <w:rsid w:val="00785F77"/>
    <w:rsid w:val="008C604E"/>
    <w:rsid w:val="00B4631F"/>
    <w:rsid w:val="00C57464"/>
    <w:rsid w:val="00E51B12"/>
    <w:rsid w:val="00EF1E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0B89047D"/>
  <w15:docId w15:val="{D62B9E78-2460-2146-92F1-57E17F35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next w:val="Normal"/>
    <w:link w:val="Ttulo1Car"/>
    <w:uiPriority w:val="9"/>
    <w:qFormat/>
    <w:rsid w:val="001D1293"/>
    <w:pPr>
      <w:keepNext/>
      <w:keepLines/>
      <w:spacing w:after="267" w:line="250" w:lineRule="auto"/>
      <w:ind w:left="10" w:hanging="10"/>
      <w:jc w:val="both"/>
      <w:outlineLvl w:val="0"/>
    </w:pPr>
    <w:rPr>
      <w:rFonts w:ascii="Arial" w:eastAsia="Arial" w:hAnsi="Arial" w:cs="Arial"/>
      <w:b/>
      <w:color w:val="000000"/>
      <w:kern w:val="2"/>
      <w:sz w:val="24"/>
      <w:szCs w:val="24"/>
      <w:lang w:eastAsia="es-MX"/>
      <w14:ligatures w14:val="standardContextual"/>
    </w:rPr>
  </w:style>
  <w:style w:type="paragraph" w:styleId="Ttulo2">
    <w:name w:val="heading 2"/>
    <w:basedOn w:val="Normal"/>
    <w:next w:val="Normal"/>
    <w:link w:val="Ttulo2Car"/>
    <w:uiPriority w:val="9"/>
    <w:semiHidden/>
    <w:unhideWhenUsed/>
    <w:qFormat/>
    <w:rsid w:val="00EF1E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EF1EC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rrafodelista">
    <w:name w:val="List Paragraph"/>
    <w:basedOn w:val="Normal"/>
    <w:uiPriority w:val="34"/>
    <w:qFormat/>
    <w:pPr>
      <w:spacing w:after="0" w:line="240" w:lineRule="auto"/>
      <w:ind w:left="720"/>
      <w:contextualSpacing/>
    </w:pPr>
    <w:rPr>
      <w:rFonts w:ascii="Times New Roman" w:hAnsi="Times New Roman"/>
      <w:sz w:val="24"/>
      <w:lang w:val="es-ES" w:eastAsia="es-ES"/>
    </w:rPr>
  </w:style>
  <w:style w:type="paragraph" w:styleId="Textodeglobo">
    <w:name w:val="Balloon Text"/>
    <w:basedOn w:val="Normal"/>
    <w:link w:val="TextodegloboCar"/>
    <w:semiHidden/>
    <w:pPr>
      <w:spacing w:after="0" w:line="240" w:lineRule="auto"/>
    </w:pPr>
    <w:rPr>
      <w:rFonts w:ascii="Tahoma" w:hAnsi="Tahoma"/>
      <w:sz w:val="16"/>
    </w:r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qFormat/>
    <w:pPr>
      <w:spacing w:after="0" w:line="240" w:lineRule="auto"/>
    </w:pPr>
  </w:style>
  <w:style w:type="paragraph" w:styleId="NormalWeb">
    <w:name w:val="Normal (Web)"/>
    <w:basedOn w:val="Normal"/>
    <w:semiHidden/>
    <w:pPr>
      <w:spacing w:before="100" w:beforeAutospacing="1" w:after="100" w:afterAutospacing="1" w:line="240" w:lineRule="auto"/>
    </w:pPr>
    <w:rPr>
      <w:rFonts w:ascii="Times New Roman" w:hAnsi="Times New Roman"/>
      <w:sz w:val="24"/>
      <w:lang w:eastAsia="es-CO"/>
    </w:rPr>
  </w:style>
  <w:style w:type="character" w:styleId="Nmerodelnea">
    <w:name w:val="line number"/>
    <w:basedOn w:val="Fuentedeprrafopredeter"/>
    <w:semiHidden/>
  </w:style>
  <w:style w:type="character" w:styleId="Hipervnculo">
    <w:name w:val="Hyperlink"/>
    <w:basedOn w:val="Fuentedeprrafopredeter"/>
    <w:rPr>
      <w:color w:val="0000FF"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TextodegloboCar">
    <w:name w:val="Texto de globo Car"/>
    <w:basedOn w:val="Fuentedeprrafopredeter"/>
    <w:link w:val="Textodeglobo"/>
    <w:semiHidden/>
    <w:rPr>
      <w:rFonts w:ascii="Tahoma" w:hAnsi="Tahoma"/>
      <w:sz w:val="16"/>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1D1293"/>
    <w:rPr>
      <w:rFonts w:ascii="Arial" w:eastAsia="Arial" w:hAnsi="Arial" w:cs="Arial"/>
      <w:b/>
      <w:color w:val="000000"/>
      <w:kern w:val="2"/>
      <w:sz w:val="24"/>
      <w:szCs w:val="24"/>
      <w:lang w:eastAsia="es-MX"/>
      <w14:ligatures w14:val="standardContextual"/>
    </w:rPr>
  </w:style>
  <w:style w:type="character" w:customStyle="1" w:styleId="Ttulo2Car">
    <w:name w:val="Título 2 Car"/>
    <w:basedOn w:val="Fuentedeprrafopredeter"/>
    <w:link w:val="Ttulo2"/>
    <w:uiPriority w:val="9"/>
    <w:semiHidden/>
    <w:rsid w:val="00EF1EC8"/>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EF1EC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896</Words>
  <Characters>4708</Characters>
  <Application>Microsoft Office Word</Application>
  <DocSecurity>0</DocSecurity>
  <Lines>109</Lines>
  <Paragraphs>39</Paragraphs>
  <ScaleCrop>false</ScaleCrop>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Iana Kalioujnaia</dc:creator>
  <cp:lastModifiedBy>Christian Joaqui</cp:lastModifiedBy>
  <cp:revision>4</cp:revision>
  <cp:lastPrinted>2016-11-18T22:56:00Z</cp:lastPrinted>
  <dcterms:created xsi:type="dcterms:W3CDTF">2026-07-07T18:39:00Z</dcterms:created>
  <dcterms:modified xsi:type="dcterms:W3CDTF">2026-07-07T18:45:00Z</dcterms:modified>
</cp:coreProperties>
</file>